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981" w:rsidRDefault="0057701B">
      <w:pPr>
        <w:tabs>
          <w:tab w:val="right" w:pos="9216"/>
        </w:tabs>
        <w:spacing w:after="0"/>
        <w:jc w:val="left"/>
        <w:rPr>
          <w:rFonts w:ascii="Arial" w:hAnsi="Arial" w:cs="Arial"/>
          <w:kern w:val="2"/>
          <w:lang w:eastAsia="zh-CN"/>
        </w:rPr>
      </w:pPr>
      <w:bookmarkStart w:id="0" w:name="_Ref124589705"/>
      <w:bookmarkStart w:id="1" w:name="_Ref129681862"/>
      <w:r>
        <w:rPr>
          <w:rFonts w:ascii="Arial" w:hAnsi="Arial"/>
          <w:b/>
          <w:lang w:eastAsia="ja-JP"/>
        </w:rPr>
        <w:t>3GPP TSG RAN WG1 #106-e</w:t>
      </w:r>
      <w:r>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b/>
          <w:lang w:eastAsia="zh-CN"/>
        </w:rPr>
        <w:t xml:space="preserve"> </w:t>
      </w:r>
      <w:r>
        <w:rPr>
          <w:rFonts w:ascii="Arial" w:hAnsi="Arial" w:hint="eastAsia"/>
          <w:b/>
          <w:lang w:eastAsia="zh-CN"/>
        </w:rPr>
        <w:t xml:space="preserve"> </w:t>
      </w:r>
      <w:r>
        <w:rPr>
          <w:rFonts w:ascii="Arial" w:hAnsi="Arial" w:cs="Arial" w:hint="eastAsia"/>
          <w:b/>
          <w:bCs/>
          <w:lang w:eastAsia="zh-CN"/>
        </w:rPr>
        <w:t xml:space="preserve">                                                                         </w:t>
      </w:r>
      <w:r>
        <w:rPr>
          <w:rFonts w:ascii="Arial" w:hAnsi="Arial" w:cs="Arial"/>
          <w:b/>
          <w:bCs/>
          <w:lang w:eastAsia="zh-CN"/>
        </w:rPr>
        <w:t xml:space="preserve">         R1-2106778</w:t>
      </w:r>
    </w:p>
    <w:p w:rsidR="00965981" w:rsidRDefault="0057701B">
      <w:pPr>
        <w:spacing w:after="200"/>
        <w:outlineLvl w:val="0"/>
        <w:rPr>
          <w:rFonts w:ascii="Arial" w:hAnsi="Arial"/>
          <w:b/>
          <w:lang w:eastAsia="ja-JP"/>
        </w:rPr>
      </w:pPr>
      <w:proofErr w:type="gramStart"/>
      <w:r>
        <w:rPr>
          <w:rFonts w:ascii="Arial" w:hAnsi="Arial"/>
          <w:b/>
          <w:lang w:eastAsia="ja-JP"/>
        </w:rPr>
        <w:t>e-Meeting</w:t>
      </w:r>
      <w:proofErr w:type="gramEnd"/>
      <w:r>
        <w:rPr>
          <w:rFonts w:ascii="Arial" w:hAnsi="Arial"/>
          <w:b/>
          <w:lang w:eastAsia="ja-JP"/>
        </w:rPr>
        <w:t xml:space="preserve">, </w:t>
      </w:r>
      <w:r>
        <w:rPr>
          <w:rFonts w:ascii="Arial" w:hAnsi="Arial" w:hint="eastAsia"/>
          <w:b/>
          <w:lang w:eastAsia="zh-CN"/>
        </w:rPr>
        <w:t>August</w:t>
      </w:r>
      <w:r>
        <w:rPr>
          <w:rFonts w:ascii="Arial" w:hAnsi="Arial"/>
          <w:b/>
          <w:lang w:eastAsia="ja-JP"/>
        </w:rPr>
        <w:t xml:space="preserve"> 16</w:t>
      </w:r>
      <w:r>
        <w:rPr>
          <w:rFonts w:ascii="Arial" w:hAnsi="Arial"/>
          <w:b/>
          <w:vertAlign w:val="superscript"/>
          <w:lang w:eastAsia="ja-JP"/>
        </w:rPr>
        <w:t>th</w:t>
      </w:r>
      <w:r>
        <w:rPr>
          <w:rFonts w:ascii="Arial" w:hAnsi="Arial"/>
          <w:b/>
          <w:lang w:eastAsia="ja-JP"/>
        </w:rPr>
        <w:t xml:space="preserve"> – 27</w:t>
      </w:r>
      <w:r>
        <w:rPr>
          <w:rFonts w:ascii="Arial" w:hAnsi="Arial"/>
          <w:b/>
          <w:vertAlign w:val="superscript"/>
          <w:lang w:eastAsia="ja-JP"/>
        </w:rPr>
        <w:t>th</w:t>
      </w:r>
      <w:r>
        <w:rPr>
          <w:rFonts w:ascii="Arial" w:hAnsi="Arial"/>
          <w:b/>
          <w:lang w:eastAsia="ja-JP"/>
        </w:rPr>
        <w:t>, 2021</w:t>
      </w:r>
    </w:p>
    <w:p w:rsidR="00965981" w:rsidRDefault="0057701B">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rPr>
        <w:t>Draft Reply LS to RAN3 LS on TCI State Update for L1</w:t>
      </w:r>
      <w:r>
        <w:rPr>
          <w:rFonts w:ascii="Arial" w:hAnsi="Arial" w:cs="Arial"/>
          <w:lang w:eastAsia="zh-CN"/>
        </w:rPr>
        <w:t>/</w:t>
      </w:r>
      <w:r>
        <w:rPr>
          <w:rFonts w:ascii="Arial" w:hAnsi="Arial" w:cs="Arial"/>
        </w:rPr>
        <w:t>L2-Centric Inter-Cell Mobility</w:t>
      </w:r>
    </w:p>
    <w:p w:rsidR="00965981" w:rsidRDefault="0057701B">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Pr>
          <w:rFonts w:ascii="Arial" w:hAnsi="Arial" w:cs="Arial"/>
          <w:bCs/>
          <w:lang w:val="sv-SE" w:eastAsia="ko-KR"/>
        </w:rPr>
        <w:t>R3-212879</w:t>
      </w:r>
    </w:p>
    <w:p w:rsidR="00965981" w:rsidRDefault="0057701B">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rsidR="00965981" w:rsidRDefault="0057701B">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NR_feMIMO</w:t>
      </w:r>
      <w:proofErr w:type="spellEnd"/>
      <w:r>
        <w:rPr>
          <w:rFonts w:ascii="Arial" w:hAnsi="Arial" w:cs="Arial"/>
          <w:bCs/>
          <w:lang w:eastAsia="ja-JP"/>
        </w:rPr>
        <w:t>-Core</w:t>
      </w:r>
    </w:p>
    <w:p w:rsidR="00965981" w:rsidRDefault="00965981">
      <w:pPr>
        <w:spacing w:after="60"/>
        <w:ind w:left="1985" w:hanging="1985"/>
        <w:rPr>
          <w:rFonts w:ascii="Arial" w:hAnsi="Arial" w:cs="Arial"/>
          <w:b/>
        </w:rPr>
      </w:pPr>
    </w:p>
    <w:p w:rsidR="00965981" w:rsidRDefault="0057701B">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[RAN1]</w:t>
      </w:r>
    </w:p>
    <w:p w:rsidR="00965981" w:rsidRDefault="0057701B">
      <w:pPr>
        <w:spacing w:after="60"/>
        <w:ind w:left="1985" w:hanging="1985"/>
        <w:outlineLvl w:val="0"/>
        <w:rPr>
          <w:rFonts w:ascii="Arial" w:hAnsi="Arial" w:cs="Arial"/>
          <w:bCs/>
        </w:rPr>
      </w:pPr>
      <w:r>
        <w:rPr>
          <w:rFonts w:ascii="Arial" w:hAnsi="Arial" w:cs="Arial"/>
          <w:b/>
        </w:rPr>
        <w:t>To:</w:t>
      </w:r>
      <w:r>
        <w:rPr>
          <w:rFonts w:ascii="Arial" w:hAnsi="Arial" w:cs="Arial"/>
          <w:bCs/>
        </w:rPr>
        <w:tab/>
        <w:t>RAN3</w:t>
      </w:r>
    </w:p>
    <w:p w:rsidR="00965981" w:rsidRDefault="00965981">
      <w:pPr>
        <w:spacing w:after="60"/>
        <w:ind w:left="1985" w:hanging="1985"/>
        <w:rPr>
          <w:rFonts w:ascii="Arial" w:hAnsi="Arial" w:cs="Arial"/>
          <w:bCs/>
        </w:rPr>
      </w:pPr>
    </w:p>
    <w:p w:rsidR="00965981" w:rsidRDefault="0057701B">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965981" w:rsidRDefault="0057701B">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965981" w:rsidRDefault="0057701B">
      <w:pPr>
        <w:spacing w:after="60"/>
        <w:jc w:val="left"/>
        <w:rPr>
          <w:b/>
        </w:rPr>
      </w:pPr>
      <w:r>
        <w:rPr>
          <w:rFonts w:ascii="Arial" w:hAnsi="Arial" w:cs="Arial"/>
          <w:b/>
          <w:sz w:val="20"/>
          <w:szCs w:val="20"/>
        </w:rPr>
        <w:t>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965981" w:rsidRDefault="00965981">
      <w:pPr>
        <w:pBdr>
          <w:bottom w:val="single" w:sz="4" w:space="1" w:color="auto"/>
        </w:pBdr>
        <w:spacing w:after="0"/>
        <w:jc w:val="left"/>
        <w:rPr>
          <w:b/>
          <w:sz w:val="16"/>
          <w:szCs w:val="16"/>
          <w:lang w:eastAsia="zh-CN"/>
        </w:rPr>
      </w:pPr>
    </w:p>
    <w:bookmarkEnd w:id="0"/>
    <w:bookmarkEnd w:id="1"/>
    <w:p w:rsidR="00965981" w:rsidRDefault="00965981">
      <w:pPr>
        <w:pStyle w:val="References"/>
        <w:numPr>
          <w:ilvl w:val="0"/>
          <w:numId w:val="0"/>
        </w:numPr>
        <w:tabs>
          <w:tab w:val="left" w:pos="420"/>
        </w:tabs>
        <w:adjustRightInd w:val="0"/>
        <w:spacing w:after="0"/>
        <w:ind w:left="450" w:hanging="360"/>
        <w:rPr>
          <w:lang w:eastAsia="zh-CN"/>
        </w:rPr>
      </w:pPr>
    </w:p>
    <w:p w:rsidR="00965981" w:rsidRDefault="0057701B">
      <w:pPr>
        <w:outlineLvl w:val="0"/>
        <w:rPr>
          <w:rFonts w:ascii="Arial" w:hAnsi="Arial" w:cs="Arial"/>
          <w:b/>
        </w:rPr>
      </w:pPr>
      <w:r>
        <w:rPr>
          <w:rFonts w:ascii="Arial" w:hAnsi="Arial" w:cs="Arial"/>
          <w:b/>
        </w:rPr>
        <w:t>1. Overall Description:</w:t>
      </w:r>
    </w:p>
    <w:p w:rsidR="00965981" w:rsidRDefault="0057701B">
      <w:pPr>
        <w:rPr>
          <w:bCs/>
          <w:sz w:val="20"/>
          <w:szCs w:val="20"/>
          <w:lang w:eastAsia="zh-CN"/>
        </w:rPr>
      </w:pPr>
      <w:r>
        <w:rPr>
          <w:bCs/>
          <w:sz w:val="20"/>
          <w:szCs w:val="20"/>
          <w:lang w:eastAsia="zh-CN"/>
        </w:rPr>
        <w:t>RAN1 would like to thank RAN3 for the reply LS R3-212879 on TCI state update for L1/L2-centric inter-cell mobility.</w:t>
      </w:r>
      <w:r>
        <w:rPr>
          <w:rFonts w:hint="eastAsia"/>
          <w:bCs/>
          <w:sz w:val="20"/>
          <w:szCs w:val="20"/>
          <w:lang w:eastAsia="zh-CN"/>
        </w:rPr>
        <w:t xml:space="preserve"> </w:t>
      </w:r>
      <w:r>
        <w:rPr>
          <w:bCs/>
          <w:sz w:val="20"/>
          <w:szCs w:val="20"/>
          <w:lang w:eastAsia="zh-CN"/>
        </w:rPr>
        <w:t>In the reply LS, RAN3 had the following questions w.r.t. the concept of L1-centric mobility.</w:t>
      </w:r>
    </w:p>
    <w:tbl>
      <w:tblPr>
        <w:tblStyle w:val="TableGrid"/>
        <w:tblW w:w="0" w:type="auto"/>
        <w:tblLook w:val="04A0" w:firstRow="1" w:lastRow="0" w:firstColumn="1" w:lastColumn="0" w:noHBand="0" w:noVBand="1"/>
      </w:tblPr>
      <w:tblGrid>
        <w:gridCol w:w="9307"/>
      </w:tblGrid>
      <w:tr w:rsidR="00965981">
        <w:tc>
          <w:tcPr>
            <w:tcW w:w="9307" w:type="dxa"/>
          </w:tcPr>
          <w:p w:rsidR="00965981" w:rsidRDefault="0057701B">
            <w:pPr>
              <w:pStyle w:val="00BodyText"/>
              <w:overflowPunct/>
              <w:autoSpaceDE/>
              <w:autoSpaceDN/>
              <w:adjustRightInd/>
              <w:snapToGrid w:val="0"/>
              <w:spacing w:after="120"/>
              <w:textAlignment w:val="auto"/>
              <w:rPr>
                <w:rFonts w:ascii="Times New Roman" w:hAnsi="Times New Roman"/>
                <w:sz w:val="20"/>
                <w:lang w:val="en-GB" w:eastAsia="zh-CN"/>
              </w:rPr>
            </w:pPr>
            <w:r>
              <w:rPr>
                <w:rFonts w:ascii="Times New Roman" w:hAnsi="Times New Roman"/>
                <w:b/>
                <w:sz w:val="20"/>
                <w:lang w:val="en-GB" w:eastAsia="zh-CN"/>
              </w:rPr>
              <w:t>Question 1</w:t>
            </w:r>
            <w:r>
              <w:rPr>
                <w:rFonts w:ascii="Times New Roman" w:hAnsi="Times New Roman"/>
                <w:sz w:val="20"/>
                <w:lang w:val="en-GB" w:eastAsia="zh-CN"/>
              </w:rPr>
              <w:t xml:space="preserve">: What does “non-serving cell” mean? </w:t>
            </w:r>
          </w:p>
          <w:p w:rsidR="00965981" w:rsidRDefault="0057701B">
            <w:pPr>
              <w:pStyle w:val="NormalWeb"/>
              <w:adjustRightInd w:val="0"/>
              <w:spacing w:before="0" w:beforeAutospacing="0" w:after="0" w:afterAutospacing="0"/>
              <w:rPr>
                <w:rFonts w:ascii="Times New Roman" w:eastAsia="等线" w:hAnsi="Times New Roman" w:cs="Times New Roman"/>
                <w:sz w:val="20"/>
                <w:szCs w:val="20"/>
                <w:lang w:val="en-GB"/>
              </w:rPr>
            </w:pPr>
            <w:r>
              <w:rPr>
                <w:rFonts w:ascii="Times New Roman" w:eastAsia="等线" w:hAnsi="Times New Roman" w:cs="Times New Roman"/>
                <w:b/>
                <w:sz w:val="20"/>
                <w:szCs w:val="20"/>
                <w:lang w:val="en-GB"/>
              </w:rPr>
              <w:t>Question 2</w:t>
            </w:r>
            <w:r>
              <w:rPr>
                <w:rFonts w:ascii="Times New Roman" w:eastAsia="等线" w:hAnsi="Times New Roman" w:cs="Times New Roman"/>
                <w:sz w:val="20"/>
                <w:szCs w:val="20"/>
                <w:lang w:val="en-GB"/>
              </w:rPr>
              <w:t>: What is the procedure of L1/L2-centric mobility? e.g.,</w:t>
            </w:r>
          </w:p>
          <w:p w:rsidR="00965981" w:rsidRDefault="0057701B">
            <w:pPr>
              <w:pStyle w:val="NormalWeb"/>
              <w:numPr>
                <w:ilvl w:val="0"/>
                <w:numId w:val="6"/>
              </w:numPr>
              <w:spacing w:before="0" w:beforeAutospacing="0" w:after="0" w:afterAutospacing="0" w:line="240" w:lineRule="auto"/>
              <w:ind w:left="714" w:hanging="357"/>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Configuration of a non-serving cell</w:t>
            </w:r>
          </w:p>
          <w:p w:rsidR="00965981" w:rsidRDefault="0057701B">
            <w:pPr>
              <w:pStyle w:val="NormalWeb"/>
              <w:numPr>
                <w:ilvl w:val="0"/>
                <w:numId w:val="6"/>
              </w:numPr>
              <w:spacing w:after="0" w:afterAutospacing="0" w:line="240" w:lineRule="auto"/>
              <w:rPr>
                <w:rFonts w:ascii="Times New Roman" w:eastAsia="等线" w:hAnsi="Times New Roman" w:cs="Times New Roman"/>
                <w:sz w:val="20"/>
                <w:szCs w:val="20"/>
                <w:lang w:val="en-GB"/>
              </w:rPr>
            </w:pPr>
            <w:proofErr w:type="spellStart"/>
            <w:r>
              <w:rPr>
                <w:rFonts w:ascii="Times New Roman" w:eastAsia="等线" w:hAnsi="Times New Roman" w:cs="Times New Roman"/>
                <w:sz w:val="20"/>
                <w:szCs w:val="20"/>
                <w:lang w:val="en-GB"/>
              </w:rPr>
              <w:t>Deconfiguration</w:t>
            </w:r>
            <w:proofErr w:type="spellEnd"/>
            <w:r>
              <w:rPr>
                <w:rFonts w:ascii="Times New Roman" w:eastAsia="等线" w:hAnsi="Times New Roman" w:cs="Times New Roman"/>
                <w:sz w:val="20"/>
                <w:szCs w:val="20"/>
                <w:lang w:val="en-GB"/>
              </w:rPr>
              <w:t xml:space="preserve"> of non-serving cell</w:t>
            </w:r>
          </w:p>
          <w:p w:rsidR="00965981" w:rsidRDefault="0057701B">
            <w:pPr>
              <w:pStyle w:val="NormalWeb"/>
              <w:numPr>
                <w:ilvl w:val="0"/>
                <w:numId w:val="6"/>
              </w:numPr>
              <w:spacing w:after="120" w:afterAutospacing="0" w:line="240" w:lineRule="auto"/>
              <w:ind w:left="714" w:hanging="357"/>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Change of serving cell</w:t>
            </w:r>
          </w:p>
          <w:p w:rsidR="00965981" w:rsidRDefault="0057701B">
            <w:pPr>
              <w:rPr>
                <w:iCs/>
                <w:color w:val="0070C0"/>
                <w:sz w:val="20"/>
                <w:szCs w:val="20"/>
              </w:rPr>
            </w:pPr>
            <w:r>
              <w:rPr>
                <w:b/>
                <w:sz w:val="20"/>
                <w:szCs w:val="20"/>
                <w:lang w:eastAsia="zh-CN"/>
              </w:rPr>
              <w:t>Question 3</w:t>
            </w:r>
            <w:r>
              <w:rPr>
                <w:sz w:val="20"/>
                <w:szCs w:val="20"/>
                <w:lang w:eastAsia="zh-CN"/>
              </w:rPr>
              <w:t>: Whether both intra-frequency and inter-frequency scenarios are targeted for this new scheme?</w:t>
            </w:r>
          </w:p>
        </w:tc>
      </w:tr>
    </w:tbl>
    <w:p w:rsidR="00965981" w:rsidRDefault="0057701B">
      <w:pPr>
        <w:spacing w:before="120"/>
        <w:rPr>
          <w:bCs/>
          <w:sz w:val="20"/>
          <w:szCs w:val="20"/>
          <w:lang w:eastAsia="zh-CN"/>
        </w:rPr>
      </w:pPr>
      <w:r>
        <w:rPr>
          <w:bCs/>
          <w:sz w:val="20"/>
          <w:szCs w:val="20"/>
          <w:lang w:eastAsia="zh-CN"/>
        </w:rPr>
        <w:t>RAN1 has the following reply to these above questions:</w:t>
      </w:r>
    </w:p>
    <w:p w:rsidR="00965981" w:rsidRDefault="0057701B" w:rsidP="00ED37EA">
      <w:pPr>
        <w:pStyle w:val="ListParagraph"/>
        <w:numPr>
          <w:ilvl w:val="0"/>
          <w:numId w:val="7"/>
        </w:numPr>
        <w:snapToGrid w:val="0"/>
        <w:spacing w:after="120" w:line="259" w:lineRule="auto"/>
        <w:ind w:hanging="357"/>
        <w:contextualSpacing w:val="0"/>
        <w:jc w:val="both"/>
        <w:rPr>
          <w:bCs/>
          <w:lang w:eastAsia="zh-CN"/>
        </w:rPr>
      </w:pPr>
      <w:r>
        <w:rPr>
          <w:bCs/>
          <w:lang w:eastAsia="zh-CN"/>
        </w:rPr>
        <w:t xml:space="preserve">Regarding Question 1, </w:t>
      </w:r>
      <w:r w:rsidR="000A2281">
        <w:rPr>
          <w:lang w:eastAsia="zh-CN"/>
        </w:rPr>
        <w:t>in reply LS R2-2106787</w:t>
      </w:r>
      <w:r w:rsidR="004A4861">
        <w:rPr>
          <w:lang w:eastAsia="zh-CN"/>
        </w:rPr>
        <w:t xml:space="preserve">, </w:t>
      </w:r>
      <w:r w:rsidR="000A2281">
        <w:rPr>
          <w:lang w:eastAsia="zh-CN"/>
        </w:rPr>
        <w:t>inter-cell multi-TRP-like model and L1/L2 mobility model (i.e. with serving cell change) have been identified</w:t>
      </w:r>
      <w:r w:rsidR="0007061B">
        <w:rPr>
          <w:lang w:eastAsia="zh-CN"/>
        </w:rPr>
        <w:t xml:space="preserve"> for </w:t>
      </w:r>
      <w:proofErr w:type="spellStart"/>
      <w:r w:rsidR="0007061B">
        <w:rPr>
          <w:lang w:eastAsia="zh-CN"/>
        </w:rPr>
        <w:t>L1</w:t>
      </w:r>
      <w:proofErr w:type="spellEnd"/>
      <w:r w:rsidR="0007061B">
        <w:rPr>
          <w:lang w:eastAsia="zh-CN"/>
        </w:rPr>
        <w:t>/</w:t>
      </w:r>
      <w:proofErr w:type="spellStart"/>
      <w:r w:rsidR="0007061B">
        <w:rPr>
          <w:lang w:eastAsia="zh-CN"/>
        </w:rPr>
        <w:t>L2</w:t>
      </w:r>
      <w:proofErr w:type="spellEnd"/>
      <w:r w:rsidR="0007061B">
        <w:rPr>
          <w:lang w:eastAsia="zh-CN"/>
        </w:rPr>
        <w:t>-centric mobility</w:t>
      </w:r>
      <w:r w:rsidR="000A2281">
        <w:rPr>
          <w:lang w:eastAsia="zh-CN"/>
        </w:rPr>
        <w:t>.</w:t>
      </w:r>
    </w:p>
    <w:p w:rsidR="00965981" w:rsidRDefault="0057701B" w:rsidP="00ED37EA">
      <w:pPr>
        <w:pStyle w:val="ListParagraph"/>
        <w:numPr>
          <w:ilvl w:val="1"/>
          <w:numId w:val="7"/>
        </w:numPr>
        <w:snapToGrid w:val="0"/>
        <w:spacing w:after="120" w:line="259" w:lineRule="auto"/>
        <w:ind w:left="1434" w:hanging="357"/>
        <w:contextualSpacing w:val="0"/>
        <w:jc w:val="both"/>
        <w:rPr>
          <w:bCs/>
          <w:lang w:eastAsia="zh-CN"/>
        </w:rPr>
      </w:pPr>
      <w:r>
        <w:rPr>
          <w:lang w:eastAsia="zh-CN"/>
        </w:rPr>
        <w:t>For the inter-cell multi-</w:t>
      </w:r>
      <w:proofErr w:type="spellStart"/>
      <w:r>
        <w:rPr>
          <w:lang w:eastAsia="zh-CN"/>
        </w:rPr>
        <w:t>TRP</w:t>
      </w:r>
      <w:proofErr w:type="spellEnd"/>
      <w:r>
        <w:rPr>
          <w:lang w:eastAsia="zh-CN"/>
        </w:rPr>
        <w:t xml:space="preserve">-like model, the </w:t>
      </w:r>
      <w:r w:rsidR="00E50097">
        <w:rPr>
          <w:lang w:eastAsia="zh-CN"/>
        </w:rPr>
        <w:t>“</w:t>
      </w:r>
      <w:r>
        <w:rPr>
          <w:lang w:eastAsia="zh-CN"/>
        </w:rPr>
        <w:t>non-serving cell</w:t>
      </w:r>
      <w:r w:rsidR="00E50097">
        <w:rPr>
          <w:lang w:eastAsia="zh-CN"/>
        </w:rPr>
        <w:t>”</w:t>
      </w:r>
      <w:r>
        <w:rPr>
          <w:lang w:eastAsia="zh-CN"/>
        </w:rPr>
        <w:t xml:space="preserve"> corresponds to </w:t>
      </w:r>
      <w:r w:rsidR="00A2466B">
        <w:rPr>
          <w:lang w:eastAsia="zh-CN"/>
        </w:rPr>
        <w:t xml:space="preserve">a cell having additional </w:t>
      </w:r>
      <w:proofErr w:type="spellStart"/>
      <w:r>
        <w:rPr>
          <w:lang w:eastAsia="zh-CN"/>
        </w:rPr>
        <w:t>TRP</w:t>
      </w:r>
      <w:proofErr w:type="spellEnd"/>
      <w:r>
        <w:rPr>
          <w:lang w:eastAsia="zh-CN"/>
        </w:rPr>
        <w:t xml:space="preserve"> </w:t>
      </w:r>
      <w:r w:rsidR="00A2466B">
        <w:rPr>
          <w:lang w:eastAsia="zh-CN"/>
        </w:rPr>
        <w:t xml:space="preserve">associated </w:t>
      </w:r>
      <w:r>
        <w:rPr>
          <w:lang w:eastAsia="zh-CN"/>
        </w:rPr>
        <w:t xml:space="preserve">with </w:t>
      </w:r>
      <w:r w:rsidR="00E50097">
        <w:rPr>
          <w:lang w:val="en-US" w:eastAsia="zh-CN"/>
        </w:rPr>
        <w:t xml:space="preserve">different </w:t>
      </w:r>
      <w:r>
        <w:rPr>
          <w:rFonts w:hint="eastAsia"/>
          <w:lang w:val="en-US" w:eastAsia="zh-CN"/>
        </w:rPr>
        <w:t xml:space="preserve">PCI </w:t>
      </w:r>
      <w:r w:rsidR="00E50097">
        <w:rPr>
          <w:lang w:val="en-US" w:eastAsia="zh-CN"/>
        </w:rPr>
        <w:t xml:space="preserve">and different </w:t>
      </w:r>
      <w:r>
        <w:rPr>
          <w:rFonts w:hint="eastAsia"/>
          <w:lang w:val="en-US" w:eastAsia="zh-CN"/>
        </w:rPr>
        <w:t>SSB information</w:t>
      </w:r>
      <w:r w:rsidR="006038AD">
        <w:rPr>
          <w:lang w:val="en-US" w:eastAsia="zh-CN"/>
        </w:rPr>
        <w:t xml:space="preserve"> (</w:t>
      </w:r>
      <w:r w:rsidR="006038AD" w:rsidRPr="006038AD">
        <w:rPr>
          <w:lang w:val="en-US" w:eastAsia="zh-CN"/>
        </w:rPr>
        <w:t>involving SSB time domain position, SSB transmission periodicity, SSB transmission power</w:t>
      </w:r>
      <w:r w:rsidR="006038AD">
        <w:rPr>
          <w:lang w:val="en-US" w:eastAsia="zh-CN"/>
        </w:rPr>
        <w:t>, etc.)</w:t>
      </w:r>
      <w:r w:rsidR="00E50097">
        <w:rPr>
          <w:lang w:val="en-US" w:eastAsia="zh-CN"/>
        </w:rPr>
        <w:t xml:space="preserve"> compared with </w:t>
      </w:r>
      <w:r w:rsidR="00E50097">
        <w:rPr>
          <w:lang w:eastAsia="zh-CN"/>
        </w:rPr>
        <w:t>“serving cell”</w:t>
      </w:r>
      <w:r>
        <w:rPr>
          <w:rFonts w:hint="eastAsia"/>
          <w:lang w:val="en-US" w:eastAsia="zh-CN"/>
        </w:rPr>
        <w:t xml:space="preserve">. Each of the </w:t>
      </w:r>
      <w:r w:rsidR="00E50097">
        <w:rPr>
          <w:lang w:eastAsia="zh-CN"/>
        </w:rPr>
        <w:t xml:space="preserve">“serving cell” </w:t>
      </w:r>
      <w:r>
        <w:rPr>
          <w:rFonts w:hint="eastAsia"/>
          <w:lang w:val="en-US" w:eastAsia="zh-CN"/>
        </w:rPr>
        <w:t xml:space="preserve">and the </w:t>
      </w:r>
      <w:r w:rsidR="00E50097">
        <w:rPr>
          <w:lang w:eastAsia="zh-CN"/>
        </w:rPr>
        <w:t>“</w:t>
      </w:r>
      <w:r w:rsidR="004F6F75" w:rsidRPr="00ED37EA">
        <w:rPr>
          <w:lang w:eastAsia="zh-CN"/>
        </w:rPr>
        <w:t>non-</w:t>
      </w:r>
      <w:r w:rsidR="00E50097">
        <w:rPr>
          <w:lang w:eastAsia="zh-CN"/>
        </w:rPr>
        <w:t xml:space="preserve">serving cell” </w:t>
      </w:r>
      <w:r>
        <w:rPr>
          <w:rFonts w:hint="eastAsia"/>
          <w:lang w:val="en-US" w:eastAsia="zh-CN"/>
        </w:rPr>
        <w:t xml:space="preserve">corresponds to </w:t>
      </w:r>
      <w:r w:rsidR="00E50097">
        <w:rPr>
          <w:lang w:val="en-US" w:eastAsia="zh-CN"/>
        </w:rPr>
        <w:t xml:space="preserve">respective TCI state(s), e.g., with different </w:t>
      </w:r>
      <w:r>
        <w:rPr>
          <w:rFonts w:hint="eastAsia"/>
          <w:lang w:val="en-US" w:eastAsia="zh-CN"/>
        </w:rPr>
        <w:t>CORESET pool</w:t>
      </w:r>
      <w:r w:rsidR="00E50097">
        <w:rPr>
          <w:lang w:val="en-US" w:eastAsia="zh-CN"/>
        </w:rPr>
        <w:t xml:space="preserve"> ID or from different TCI state group</w:t>
      </w:r>
      <w:r w:rsidR="00A2466B">
        <w:rPr>
          <w:lang w:val="en-US" w:eastAsia="zh-CN"/>
        </w:rPr>
        <w:t>s</w:t>
      </w:r>
      <w:r w:rsidR="00D24EDA">
        <w:rPr>
          <w:lang w:val="en-US" w:eastAsia="zh-CN"/>
        </w:rPr>
        <w:t>, for dynamical switching</w:t>
      </w:r>
      <w:r>
        <w:rPr>
          <w:rFonts w:hint="eastAsia"/>
          <w:lang w:val="en-US" w:eastAsia="zh-CN"/>
        </w:rPr>
        <w:t xml:space="preserve">. </w:t>
      </w:r>
      <w:bookmarkStart w:id="2" w:name="_GoBack"/>
      <w:bookmarkEnd w:id="2"/>
    </w:p>
    <w:p w:rsidR="00965981" w:rsidRDefault="0057701B" w:rsidP="00ED37EA">
      <w:pPr>
        <w:pStyle w:val="ListParagraph"/>
        <w:numPr>
          <w:ilvl w:val="1"/>
          <w:numId w:val="7"/>
        </w:numPr>
        <w:snapToGrid w:val="0"/>
        <w:spacing w:after="120" w:line="259" w:lineRule="auto"/>
        <w:ind w:left="1434" w:hanging="357"/>
        <w:contextualSpacing w:val="0"/>
        <w:jc w:val="both"/>
        <w:rPr>
          <w:bCs/>
          <w:lang w:eastAsia="zh-CN"/>
        </w:rPr>
      </w:pPr>
      <w:r>
        <w:rPr>
          <w:lang w:eastAsia="zh-CN"/>
        </w:rPr>
        <w:t>For L1</w:t>
      </w:r>
      <w:r w:rsidR="00E50097">
        <w:rPr>
          <w:lang w:eastAsia="zh-CN"/>
        </w:rPr>
        <w:t>/</w:t>
      </w:r>
      <w:r>
        <w:rPr>
          <w:lang w:eastAsia="zh-CN"/>
        </w:rPr>
        <w:t xml:space="preserve">L2 mobility model (i.e. with serving cell change), the </w:t>
      </w:r>
      <w:r w:rsidR="00A2466B">
        <w:rPr>
          <w:lang w:eastAsia="zh-CN"/>
        </w:rPr>
        <w:t xml:space="preserve">“non-serving cell” </w:t>
      </w:r>
      <w:r>
        <w:rPr>
          <w:lang w:eastAsia="zh-CN"/>
        </w:rPr>
        <w:t>corresponds to a cell for L1/L2 centric mobility.</w:t>
      </w:r>
      <w:r>
        <w:rPr>
          <w:rFonts w:hint="eastAsia"/>
          <w:lang w:val="en-US" w:eastAsia="zh-CN"/>
        </w:rPr>
        <w:t xml:space="preserve"> The </w:t>
      </w:r>
      <w:r w:rsidR="00A2466B">
        <w:rPr>
          <w:lang w:eastAsia="zh-CN"/>
        </w:rPr>
        <w:t xml:space="preserve">“serving cell” </w:t>
      </w:r>
      <w:r>
        <w:rPr>
          <w:rFonts w:hint="eastAsia"/>
          <w:lang w:val="en-US" w:eastAsia="zh-CN"/>
        </w:rPr>
        <w:t xml:space="preserve">and </w:t>
      </w:r>
      <w:r w:rsidR="00A2466B">
        <w:rPr>
          <w:lang w:eastAsia="zh-CN"/>
        </w:rPr>
        <w:t xml:space="preserve">“non-serving cell” can be assumed as </w:t>
      </w:r>
      <w:r w:rsidR="00A2466B">
        <w:rPr>
          <w:lang w:val="en-US" w:eastAsia="zh-CN"/>
        </w:rPr>
        <w:t>independent</w:t>
      </w:r>
      <w:r>
        <w:rPr>
          <w:rFonts w:hint="eastAsia"/>
          <w:lang w:val="en-US" w:eastAsia="zh-CN"/>
        </w:rPr>
        <w:t xml:space="preserve"> serving cell unit</w:t>
      </w:r>
      <w:r w:rsidR="00495AFA">
        <w:rPr>
          <w:lang w:val="en-US" w:eastAsia="zh-CN"/>
        </w:rPr>
        <w:t>s</w:t>
      </w:r>
      <w:r>
        <w:rPr>
          <w:rFonts w:hint="eastAsia"/>
          <w:lang w:val="en-US" w:eastAsia="zh-CN"/>
        </w:rPr>
        <w:t xml:space="preserve">. The UE </w:t>
      </w:r>
      <w:r w:rsidR="00A2466B">
        <w:rPr>
          <w:lang w:val="en-US" w:eastAsia="zh-CN"/>
        </w:rPr>
        <w:t xml:space="preserve">can </w:t>
      </w:r>
      <w:r>
        <w:rPr>
          <w:rFonts w:hint="eastAsia"/>
          <w:lang w:val="en-US" w:eastAsia="zh-CN"/>
        </w:rPr>
        <w:t xml:space="preserve">switch between the </w:t>
      </w:r>
      <w:r w:rsidR="00A2466B">
        <w:rPr>
          <w:lang w:eastAsia="zh-CN"/>
        </w:rPr>
        <w:t xml:space="preserve">“serving cell” </w:t>
      </w:r>
      <w:r>
        <w:rPr>
          <w:rFonts w:hint="eastAsia"/>
          <w:lang w:val="en-US" w:eastAsia="zh-CN"/>
        </w:rPr>
        <w:t xml:space="preserve">and </w:t>
      </w:r>
      <w:r w:rsidR="00A2466B">
        <w:rPr>
          <w:lang w:eastAsia="zh-CN"/>
        </w:rPr>
        <w:t>“non-serving cell”</w:t>
      </w:r>
      <w:r>
        <w:rPr>
          <w:rFonts w:hint="eastAsia"/>
          <w:lang w:val="en-US" w:eastAsia="zh-CN"/>
        </w:rPr>
        <w:t xml:space="preserve"> by </w:t>
      </w:r>
      <w:proofErr w:type="spellStart"/>
      <w:r>
        <w:rPr>
          <w:rFonts w:hint="eastAsia"/>
          <w:lang w:val="en-US" w:eastAsia="zh-CN"/>
        </w:rPr>
        <w:t>L1</w:t>
      </w:r>
      <w:proofErr w:type="spellEnd"/>
      <w:r>
        <w:rPr>
          <w:rFonts w:hint="eastAsia"/>
          <w:lang w:val="en-US" w:eastAsia="zh-CN"/>
        </w:rPr>
        <w:t>/</w:t>
      </w:r>
      <w:proofErr w:type="spellStart"/>
      <w:r>
        <w:rPr>
          <w:rFonts w:hint="eastAsia"/>
          <w:lang w:val="en-US" w:eastAsia="zh-CN"/>
        </w:rPr>
        <w:t>L2</w:t>
      </w:r>
      <w:proofErr w:type="spellEnd"/>
      <w:r>
        <w:rPr>
          <w:rFonts w:hint="eastAsia"/>
          <w:lang w:val="en-US" w:eastAsia="zh-CN"/>
        </w:rPr>
        <w:t xml:space="preserve"> </w:t>
      </w:r>
      <w:r w:rsidR="00A2466B">
        <w:rPr>
          <w:lang w:val="en-US" w:eastAsia="zh-CN"/>
        </w:rPr>
        <w:t xml:space="preserve">measurement and dynamic </w:t>
      </w:r>
      <w:r>
        <w:rPr>
          <w:rFonts w:hint="eastAsia"/>
          <w:lang w:val="en-US" w:eastAsia="zh-CN"/>
        </w:rPr>
        <w:t xml:space="preserve">signaling. </w:t>
      </w:r>
    </w:p>
    <w:p w:rsidR="00965981" w:rsidRDefault="0057701B" w:rsidP="00ED37EA">
      <w:pPr>
        <w:pStyle w:val="ListParagraph"/>
        <w:numPr>
          <w:ilvl w:val="0"/>
          <w:numId w:val="7"/>
        </w:numPr>
        <w:snapToGrid w:val="0"/>
        <w:spacing w:after="120" w:line="259" w:lineRule="auto"/>
        <w:ind w:hanging="357"/>
        <w:contextualSpacing w:val="0"/>
        <w:jc w:val="both"/>
        <w:rPr>
          <w:bCs/>
          <w:lang w:eastAsia="zh-CN"/>
        </w:rPr>
      </w:pPr>
      <w:r>
        <w:rPr>
          <w:lang w:eastAsia="zh-CN"/>
        </w:rPr>
        <w:t>Regarding Question 2, the procedure of L1/L2-centric mobility has been identified in RAN2 (as in reply LS R2-2106787)</w:t>
      </w:r>
      <w:r>
        <w:rPr>
          <w:rFonts w:asciiTheme="minorEastAsia" w:eastAsiaTheme="minorEastAsia" w:hAnsiTheme="minorEastAsia"/>
          <w:lang w:eastAsia="zh-CN"/>
        </w:rPr>
        <w:t>.</w:t>
      </w:r>
    </w:p>
    <w:p w:rsidR="00965981" w:rsidRDefault="0057701B" w:rsidP="00ED37EA">
      <w:pPr>
        <w:pStyle w:val="ListParagraph"/>
        <w:numPr>
          <w:ilvl w:val="0"/>
          <w:numId w:val="7"/>
        </w:numPr>
        <w:snapToGrid w:val="0"/>
        <w:spacing w:after="120" w:line="259" w:lineRule="auto"/>
        <w:ind w:hanging="357"/>
        <w:contextualSpacing w:val="0"/>
        <w:jc w:val="both"/>
        <w:rPr>
          <w:bCs/>
          <w:lang w:eastAsia="zh-CN"/>
        </w:rPr>
      </w:pPr>
      <w:r>
        <w:rPr>
          <w:lang w:eastAsia="zh-CN"/>
        </w:rPr>
        <w:t>Regarding Question 3, supporting intra-frequency scenario has been agreed for this new scheme, but further introducing inter-frequency scenario is still FFS.</w:t>
      </w:r>
    </w:p>
    <w:p w:rsidR="00965981" w:rsidRDefault="0057701B">
      <w:pPr>
        <w:outlineLvl w:val="0"/>
        <w:rPr>
          <w:rFonts w:ascii="Arial" w:hAnsi="Arial" w:cs="Arial"/>
          <w:b/>
        </w:rPr>
      </w:pPr>
      <w:r>
        <w:rPr>
          <w:rFonts w:ascii="Arial" w:hAnsi="Arial" w:cs="Arial"/>
          <w:b/>
        </w:rPr>
        <w:t>2. Actions:</w:t>
      </w:r>
    </w:p>
    <w:p w:rsidR="00965981" w:rsidRDefault="0057701B">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RAN3 group</w:t>
      </w:r>
    </w:p>
    <w:p w:rsidR="00965981" w:rsidRDefault="0057701B">
      <w:pPr>
        <w:spacing w:after="240"/>
        <w:jc w:val="left"/>
        <w:rPr>
          <w:sz w:val="20"/>
          <w:szCs w:val="20"/>
        </w:rPr>
      </w:pPr>
      <w:r>
        <w:rPr>
          <w:rFonts w:hint="eastAsia"/>
          <w:sz w:val="20"/>
          <w:szCs w:val="20"/>
        </w:rPr>
        <w:t>RAN1 respectfully requests RAN</w:t>
      </w:r>
      <w:r>
        <w:rPr>
          <w:sz w:val="20"/>
          <w:szCs w:val="20"/>
        </w:rPr>
        <w:t>3</w:t>
      </w:r>
      <w:r>
        <w:rPr>
          <w:rFonts w:hint="eastAsia"/>
          <w:sz w:val="20"/>
          <w:szCs w:val="20"/>
        </w:rPr>
        <w:t xml:space="preserve"> to take the above information into consideration.</w:t>
      </w:r>
    </w:p>
    <w:p w:rsidR="00965981" w:rsidRDefault="00965981">
      <w:pPr>
        <w:tabs>
          <w:tab w:val="left" w:pos="5507"/>
        </w:tabs>
        <w:rPr>
          <w:rFonts w:ascii="Arial" w:hAnsi="Arial" w:cs="Arial"/>
          <w:b/>
        </w:rPr>
      </w:pPr>
    </w:p>
    <w:p w:rsidR="00965981" w:rsidRDefault="0057701B">
      <w:pPr>
        <w:tabs>
          <w:tab w:val="left" w:pos="5507"/>
        </w:tabs>
        <w:outlineLvl w:val="0"/>
        <w:rPr>
          <w:rFonts w:ascii="Arial" w:hAnsi="Arial" w:cs="Arial"/>
          <w:b/>
        </w:rPr>
      </w:pPr>
      <w:r>
        <w:rPr>
          <w:rFonts w:ascii="Arial" w:hAnsi="Arial" w:cs="Arial"/>
          <w:b/>
        </w:rPr>
        <w:t>3. Date of Next TSG-RAN WG1 Meetings:</w:t>
      </w:r>
      <w:r>
        <w:rPr>
          <w:rFonts w:ascii="Arial" w:hAnsi="Arial" w:cs="Arial"/>
          <w:b/>
        </w:rPr>
        <w:tab/>
      </w:r>
    </w:p>
    <w:p w:rsidR="00965981" w:rsidRDefault="0057701B">
      <w:pPr>
        <w:tabs>
          <w:tab w:val="left" w:pos="5103"/>
        </w:tabs>
        <w:ind w:left="2275" w:hanging="2275"/>
        <w:rPr>
          <w:sz w:val="20"/>
          <w:szCs w:val="20"/>
        </w:rPr>
      </w:pPr>
      <w:r>
        <w:rPr>
          <w:sz w:val="20"/>
          <w:szCs w:val="20"/>
        </w:rPr>
        <w:t>TSG RAN WG1 Meeting #10</w:t>
      </w:r>
      <w:r>
        <w:rPr>
          <w:sz w:val="20"/>
          <w:szCs w:val="20"/>
          <w:lang w:eastAsia="zh-CN"/>
        </w:rPr>
        <w:t>6bis</w:t>
      </w:r>
      <w:r>
        <w:rPr>
          <w:rFonts w:hint="eastAsia"/>
          <w:sz w:val="20"/>
          <w:szCs w:val="20"/>
          <w:lang w:eastAsia="zh-CN"/>
        </w:rPr>
        <w:t>-e</w:t>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t xml:space="preserve"> </w:t>
      </w:r>
      <w:r>
        <w:rPr>
          <w:rFonts w:hint="eastAsia"/>
          <w:sz w:val="20"/>
          <w:szCs w:val="20"/>
          <w:lang w:eastAsia="zh-CN"/>
        </w:rPr>
        <w:t xml:space="preserve">October </w:t>
      </w:r>
      <w:r>
        <w:rPr>
          <w:sz w:val="20"/>
          <w:szCs w:val="20"/>
          <w:lang w:eastAsia="zh-CN"/>
        </w:rPr>
        <w:t>11</w:t>
      </w:r>
      <w:r>
        <w:rPr>
          <w:rFonts w:hint="eastAsia"/>
          <w:sz w:val="20"/>
          <w:szCs w:val="20"/>
          <w:vertAlign w:val="superscript"/>
          <w:lang w:eastAsia="zh-CN"/>
        </w:rPr>
        <w:t>th</w:t>
      </w:r>
      <w:r>
        <w:rPr>
          <w:rFonts w:hint="eastAsia"/>
          <w:sz w:val="20"/>
          <w:szCs w:val="20"/>
          <w:lang w:eastAsia="zh-CN"/>
        </w:rPr>
        <w:t xml:space="preserve"> </w:t>
      </w:r>
      <w:r>
        <w:rPr>
          <w:sz w:val="20"/>
          <w:szCs w:val="20"/>
        </w:rPr>
        <w:t>–</w:t>
      </w:r>
      <w:r>
        <w:rPr>
          <w:rFonts w:hint="eastAsia"/>
          <w:sz w:val="20"/>
          <w:szCs w:val="20"/>
          <w:lang w:eastAsia="zh-CN"/>
        </w:rPr>
        <w:t>1</w:t>
      </w:r>
      <w:r>
        <w:rPr>
          <w:sz w:val="20"/>
          <w:szCs w:val="20"/>
          <w:lang w:eastAsia="zh-CN"/>
        </w:rPr>
        <w:t>9</w:t>
      </w:r>
      <w:r>
        <w:rPr>
          <w:rFonts w:hint="eastAsia"/>
          <w:sz w:val="20"/>
          <w:szCs w:val="20"/>
          <w:vertAlign w:val="superscript"/>
          <w:lang w:eastAsia="zh-CN"/>
        </w:rPr>
        <w:t>th</w:t>
      </w:r>
      <w:r>
        <w:rPr>
          <w:sz w:val="20"/>
          <w:szCs w:val="20"/>
        </w:rPr>
        <w:t>, 2021</w:t>
      </w:r>
    </w:p>
    <w:p w:rsidR="00965981" w:rsidRDefault="0057701B">
      <w:pPr>
        <w:tabs>
          <w:tab w:val="left" w:pos="5103"/>
        </w:tabs>
        <w:ind w:left="2275" w:hanging="2275"/>
        <w:rPr>
          <w:sz w:val="20"/>
          <w:szCs w:val="20"/>
        </w:rPr>
      </w:pPr>
      <w:r>
        <w:rPr>
          <w:sz w:val="20"/>
          <w:szCs w:val="20"/>
        </w:rPr>
        <w:t>TSG RAN WG1 Meeting #10</w:t>
      </w:r>
      <w:r>
        <w:rPr>
          <w:sz w:val="20"/>
          <w:szCs w:val="20"/>
          <w:lang w:eastAsia="zh-CN"/>
        </w:rPr>
        <w:t>7</w:t>
      </w:r>
      <w:r>
        <w:rPr>
          <w:rFonts w:hint="eastAsia"/>
          <w:sz w:val="20"/>
          <w:szCs w:val="20"/>
          <w:lang w:eastAsia="zh-CN"/>
        </w:rPr>
        <w:t>-e</w:t>
      </w:r>
      <w:r>
        <w:rPr>
          <w:sz w:val="20"/>
          <w:szCs w:val="20"/>
          <w:lang w:eastAsia="zh-CN"/>
        </w:rPr>
        <w:tab/>
      </w:r>
      <w:r>
        <w:rPr>
          <w:sz w:val="20"/>
          <w:szCs w:val="20"/>
          <w:lang w:eastAsia="zh-CN"/>
        </w:rPr>
        <w:tab/>
        <w:t xml:space="preserve">     </w:t>
      </w:r>
      <w:r>
        <w:rPr>
          <w:rFonts w:hint="eastAsia"/>
          <w:sz w:val="20"/>
          <w:szCs w:val="20"/>
          <w:lang w:eastAsia="zh-CN"/>
        </w:rPr>
        <w:t xml:space="preserve">                          </w:t>
      </w:r>
      <w:r>
        <w:rPr>
          <w:sz w:val="20"/>
          <w:szCs w:val="20"/>
          <w:lang w:eastAsia="zh-CN"/>
        </w:rPr>
        <w:t>November</w:t>
      </w:r>
      <w:r>
        <w:rPr>
          <w:rFonts w:hint="eastAsia"/>
          <w:sz w:val="20"/>
          <w:szCs w:val="20"/>
          <w:lang w:eastAsia="zh-CN"/>
        </w:rPr>
        <w:t xml:space="preserve"> </w:t>
      </w:r>
      <w:r>
        <w:rPr>
          <w:sz w:val="20"/>
          <w:szCs w:val="20"/>
          <w:lang w:eastAsia="zh-CN"/>
        </w:rPr>
        <w:t>11</w:t>
      </w:r>
      <w:r>
        <w:rPr>
          <w:rFonts w:hint="eastAsia"/>
          <w:sz w:val="20"/>
          <w:szCs w:val="20"/>
          <w:vertAlign w:val="superscript"/>
          <w:lang w:eastAsia="zh-CN"/>
        </w:rPr>
        <w:t>th</w:t>
      </w:r>
      <w:r>
        <w:rPr>
          <w:rFonts w:hint="eastAsia"/>
          <w:sz w:val="20"/>
          <w:szCs w:val="20"/>
          <w:lang w:eastAsia="zh-CN"/>
        </w:rPr>
        <w:t xml:space="preserve"> </w:t>
      </w:r>
      <w:r>
        <w:rPr>
          <w:sz w:val="20"/>
          <w:szCs w:val="20"/>
        </w:rPr>
        <w:t>–</w:t>
      </w:r>
      <w:r>
        <w:rPr>
          <w:rFonts w:hint="eastAsia"/>
          <w:sz w:val="20"/>
          <w:szCs w:val="20"/>
          <w:lang w:eastAsia="zh-CN"/>
        </w:rPr>
        <w:t>1</w:t>
      </w:r>
      <w:r>
        <w:rPr>
          <w:sz w:val="20"/>
          <w:szCs w:val="20"/>
          <w:lang w:eastAsia="zh-CN"/>
        </w:rPr>
        <w:t>9</w:t>
      </w:r>
      <w:r>
        <w:rPr>
          <w:rFonts w:hint="eastAsia"/>
          <w:sz w:val="20"/>
          <w:szCs w:val="20"/>
          <w:vertAlign w:val="superscript"/>
          <w:lang w:eastAsia="zh-CN"/>
        </w:rPr>
        <w:t>th</w:t>
      </w:r>
      <w:r>
        <w:rPr>
          <w:sz w:val="20"/>
          <w:szCs w:val="20"/>
        </w:rPr>
        <w:t>, 2021</w:t>
      </w:r>
    </w:p>
    <w:sectPr w:rsidR="00965981">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69D" w:rsidRDefault="006B069D">
      <w:pPr>
        <w:spacing w:after="0" w:line="240" w:lineRule="auto"/>
      </w:pPr>
      <w:r>
        <w:separator/>
      </w:r>
    </w:p>
  </w:endnote>
  <w:endnote w:type="continuationSeparator" w:id="0">
    <w:p w:rsidR="006B069D" w:rsidRDefault="006B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69D" w:rsidRDefault="006B069D">
      <w:pPr>
        <w:spacing w:after="0" w:line="240" w:lineRule="auto"/>
      </w:pPr>
      <w:r>
        <w:separator/>
      </w:r>
    </w:p>
  </w:footnote>
  <w:footnote w:type="continuationSeparator" w:id="0">
    <w:p w:rsidR="006B069D" w:rsidRDefault="006B06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981" w:rsidRDefault="00965981">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B4D1FC4"/>
    <w:multiLevelType w:val="multilevel"/>
    <w:tmpl w:val="1B4D1F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79C8B0D-32BE-4B52-B093-CF2851F3E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pPr>
      <w:overflowPunct w:val="0"/>
      <w:snapToGrid/>
      <w:spacing w:after="220" w:line="240" w:lineRule="auto"/>
      <w:jc w:val="left"/>
      <w:textAlignment w:val="baseline"/>
    </w:pPr>
    <w:rPr>
      <w:rFonts w:ascii="Arial" w:eastAsia="等线"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4.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3103A0-B077-4C09-B9D9-AF689B191EDC}">
  <ds:schemaRefs>
    <ds:schemaRef ds:uri="http://schemas.openxmlformats.org/officeDocument/2006/bibliography"/>
  </ds:schemaRefs>
</ds:datastoreItem>
</file>

<file path=customXml/itemProps6.xml><?xml version="1.0" encoding="utf-8"?>
<ds:datastoreItem xmlns:ds="http://schemas.openxmlformats.org/officeDocument/2006/customXml" ds:itemID="{9123BA5C-A348-46EB-9F5A-77B412A67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21</cp:revision>
  <cp:lastPrinted>2018-01-11T06:12:00Z</cp:lastPrinted>
  <dcterms:created xsi:type="dcterms:W3CDTF">2021-07-31T08:27:00Z</dcterms:created>
  <dcterms:modified xsi:type="dcterms:W3CDTF">2021-08-06T03:06:00Z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